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B" w:rsidRDefault="0084710B" w:rsidP="0084710B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Требования к стажу и количеству баллов повышаются каждый год</w:t>
      </w:r>
    </w:p>
    <w:bookmarkEnd w:id="0"/>
    <w:p w:rsidR="0084710B" w:rsidRDefault="0084710B" w:rsidP="0084710B">
      <w:pPr>
        <w:textAlignment w:val="baseline"/>
        <w:rPr>
          <w:rFonts w:ascii="inherit" w:hAnsi="inherit" w:cs="Arial"/>
          <w:color w:val="000000"/>
        </w:rPr>
      </w:pPr>
    </w:p>
    <w:p w:rsidR="0084710B" w:rsidRDefault="0084710B" w:rsidP="0084710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 1 января 2015 года страховая пенсия по старости формируется в пенсионных коэффициентах или, по-другому, в баллах. Это абсолютно новый параметр в расчете пенсии, который зависит от суммы страховых взносов, перечисленных за сотрудника его работодателем. В 2015 году для выхода на пенсию требовалось минимум 6,6 балла и 6 лет страхового стажа, а вот уже к 2018 году данные пределы изменились: требуется уже 13,8 балла и 9 лет трудовой деятельности.</w:t>
      </w:r>
    </w:p>
    <w:p w:rsidR="0084710B" w:rsidRDefault="0084710B" w:rsidP="0084710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что законодательством предусмотрено поэтапное увеличение ключевых элементов пенсионной формулы – до 30 баллов и 15 лет стажа к 2024 году. Ежегодно обозначенные параметры будут изменяться, и гражданину, который собирается на пенсию, необходимо следить за тем, чтобы его заработанные права соответствовали необходимым требованиям.</w:t>
      </w:r>
    </w:p>
    <w:p w:rsidR="0084710B" w:rsidRDefault="0084710B" w:rsidP="0084710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proofErr w:type="gramStart"/>
      <w:r>
        <w:rPr>
          <w:rFonts w:ascii="inherit" w:hAnsi="inherit" w:cs="Arial"/>
          <w:color w:val="000000"/>
          <w:sz w:val="22"/>
          <w:szCs w:val="22"/>
        </w:rPr>
        <w:t>Осуществлять контроль за формированием своих пенсионных прав можно в любое удобное время, с компьютера, смартфона или планшета в </w:t>
      </w:r>
      <w:hyperlink r:id="rId6" w:tgtFrame="_blank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«Личном кабинете гражданина»</w:t>
        </w:r>
      </w:hyperlink>
      <w:r>
        <w:rPr>
          <w:rFonts w:ascii="inherit" w:hAnsi="inherit" w:cs="Arial"/>
          <w:color w:val="000000"/>
          <w:sz w:val="22"/>
          <w:szCs w:val="22"/>
        </w:rPr>
        <w:t>. Он доступен на сайте ПФР (www.pfrf.ru) и позволяет в режиме реального времени не только проверять заработанные баллы, но и рассчитывать примерный размер будущей пенсии на основе имеющихся данных.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Также Пенсионный фонд России выпустил мобильное приложение, которое позволяет с еще большей легкостью получить информацию о состоянии своего индивидуального лицевого счета в ПФР.</w:t>
      </w:r>
    </w:p>
    <w:p w:rsidR="0084710B" w:rsidRDefault="0084710B" w:rsidP="0084710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Бесплатное приложение ПФР, доступное для платформ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"https://itunes.apple.com/ru/app/%D0%BF%D1%84%D1%80-%D1%8D%D0%BB%D0%B5%D0%BA%D1%82%D1%80%D0%BE%D0%BD%D0%BD%D1%8B%D0%B5-%D1%81%D0%B5%D1%80%D0%B2%D0%B8%D1%81%D1%8B/id1202653519?mt=8" \t "_blank"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5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 и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"https://play.google.com/store/apps/details?id=com.pfrf.mobile" \t "_blank"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5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84710B" w:rsidRDefault="0084710B" w:rsidP="0084710B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Подчеркнем, что заработанные до 2015 года пенсионные права переведены в коэффициенты в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беззаявительном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порядке.</w:t>
      </w:r>
    </w:p>
    <w:p w:rsidR="0084710B" w:rsidRDefault="0084710B" w:rsidP="0084710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Подробнее со всеми изменениями можно ознакомиться на </w:t>
      </w:r>
      <w:hyperlink r:id="rId7" w:tgtFrame="_blank" w:history="1">
        <w:r>
          <w:rPr>
            <w:rStyle w:val="a5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сайте Пенсионного фонда</w:t>
        </w:r>
      </w:hyperlink>
      <w:r>
        <w:rPr>
          <w:rFonts w:ascii="inherit" w:hAnsi="inherit" w:cs="Arial"/>
          <w:color w:val="000000"/>
          <w:sz w:val="22"/>
          <w:szCs w:val="22"/>
        </w:rPr>
        <w:t>.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3F1E2C"/>
    <w:rsid w:val="005200A0"/>
    <w:rsid w:val="0084710B"/>
    <w:rsid w:val="00872778"/>
    <w:rsid w:val="00BB26A5"/>
    <w:rsid w:val="00CA71B6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s/kak_form_bud_p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2018-09-26T08:11:00Z</dcterms:created>
  <dcterms:modified xsi:type="dcterms:W3CDTF">2018-09-26T08:11:00Z</dcterms:modified>
</cp:coreProperties>
</file>