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E5" w:rsidRPr="00FC29E5" w:rsidRDefault="00FC29E5" w:rsidP="00FC29E5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</w:pPr>
      <w:r w:rsidRPr="00FC29E5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«Белая» зарплата – гарантия достойной пенсии</w:t>
      </w:r>
    </w:p>
    <w:p w:rsidR="00FC29E5" w:rsidRDefault="00FC29E5" w:rsidP="00FC29E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FC29E5" w:rsidRPr="00FC29E5" w:rsidRDefault="00FC29E5" w:rsidP="00FC29E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C29E5">
        <w:rPr>
          <w:rFonts w:ascii="Arial" w:eastAsia="Times New Roman" w:hAnsi="Arial" w:cs="Arial"/>
          <w:color w:val="000000"/>
          <w:lang w:eastAsia="ru-RU"/>
        </w:rPr>
        <w:t>Работодатель, выплачивающий «белую» зарплату, является гарантом для своего работника в обеспечении ему достойной пенсии.</w:t>
      </w:r>
    </w:p>
    <w:p w:rsidR="00FC29E5" w:rsidRPr="00FC29E5" w:rsidRDefault="00FC29E5" w:rsidP="00FC29E5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C29E5">
        <w:rPr>
          <w:rFonts w:ascii="Arial" w:eastAsia="Times New Roman" w:hAnsi="Arial" w:cs="Arial"/>
          <w:color w:val="000000"/>
          <w:lang w:eastAsia="ru-RU"/>
        </w:rPr>
        <w:t xml:space="preserve">С 1 января 2015 года при расчете пенсии учитываются баллы или «годовые пенсионные коэффициенты», которыми оценивается каждый год трудовой деятельности гражданина. Годовой пенсионный коэффициент равен отношению суммы уплаченных работодателем </w:t>
      </w:r>
      <w:proofErr w:type="gramStart"/>
      <w:r w:rsidRPr="00FC29E5">
        <w:rPr>
          <w:rFonts w:ascii="Arial" w:eastAsia="Times New Roman" w:hAnsi="Arial" w:cs="Arial"/>
          <w:color w:val="000000"/>
          <w:lang w:eastAsia="ru-RU"/>
        </w:rPr>
        <w:t>за год страховых взносов на формирование страховой части пенсии с зарплаты работника к сумме страховых взносов с максимально облагаемой по закону</w:t>
      </w:r>
      <w:proofErr w:type="gramEnd"/>
      <w:r w:rsidRPr="00FC29E5">
        <w:rPr>
          <w:rFonts w:ascii="Arial" w:eastAsia="Times New Roman" w:hAnsi="Arial" w:cs="Arial"/>
          <w:color w:val="000000"/>
          <w:lang w:eastAsia="ru-RU"/>
        </w:rPr>
        <w:t xml:space="preserve"> заработной платы. Количество набранных баллов напрямую зависит от официальной зарплаты работника, с которой уплачиваются страховые взносы. Чем больше баллов – тем выше пенсия.</w:t>
      </w:r>
    </w:p>
    <w:p w:rsidR="00FC29E5" w:rsidRPr="00FC29E5" w:rsidRDefault="00FC29E5" w:rsidP="00FC29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</w:t>
      </w:r>
      <w:r w:rsidRPr="00FC29E5">
        <w:rPr>
          <w:rFonts w:ascii="Arial" w:eastAsia="Times New Roman" w:hAnsi="Arial" w:cs="Arial"/>
          <w:color w:val="000000"/>
          <w:lang w:eastAsia="ru-RU"/>
        </w:rPr>
        <w:t>ля того чтобы получить право на трудовую пенсию по новым правилам, необходимо два условия: 15 лет стажа и 30 пенсионных коэффициентов. Это возможно только в том случае, если человек получает официальную «белую» заработную плату, размер которой составляет два МРОТ и более (с 1 января 2018 года МРОТ в России составляет 9489 рублей).</w:t>
      </w:r>
    </w:p>
    <w:p w:rsidR="00FC29E5" w:rsidRPr="00FC29E5" w:rsidRDefault="00FC29E5" w:rsidP="00FC29E5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C29E5">
        <w:rPr>
          <w:rFonts w:ascii="Arial" w:eastAsia="Times New Roman" w:hAnsi="Arial" w:cs="Arial"/>
          <w:color w:val="000000"/>
          <w:lang w:eastAsia="ru-RU"/>
        </w:rPr>
        <w:t>Пока человек молод и здоров, он не задумывается о том, какая у него заработная плата - «белая» или «серая». Главное, что работодатель платит деньги.</w:t>
      </w:r>
    </w:p>
    <w:p w:rsidR="00FC29E5" w:rsidRPr="00FC29E5" w:rsidRDefault="00FC29E5" w:rsidP="00FC29E5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C29E5">
        <w:rPr>
          <w:rFonts w:ascii="Arial" w:eastAsia="Times New Roman" w:hAnsi="Arial" w:cs="Arial"/>
          <w:color w:val="000000"/>
          <w:lang w:eastAsia="ru-RU"/>
        </w:rPr>
        <w:t>С точки зрения социальной защищенности переход на официальную оплату труда важен для самих работников и членов их семей. В будущем это позволит:</w:t>
      </w:r>
    </w:p>
    <w:p w:rsidR="00FC29E5" w:rsidRPr="00FC29E5" w:rsidRDefault="00FC29E5" w:rsidP="00FC29E5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FC29E5">
        <w:rPr>
          <w:rFonts w:ascii="inherit" w:eastAsia="Times New Roman" w:hAnsi="inherit" w:cs="Arial"/>
          <w:i/>
          <w:iCs/>
          <w:color w:val="000000"/>
          <w:lang w:eastAsia="ru-RU"/>
        </w:rPr>
        <w:t>получать достойную пенсию (за счет накопления сумм страховых взносов на лицевом счете);</w:t>
      </w:r>
    </w:p>
    <w:p w:rsidR="00FC29E5" w:rsidRPr="00FC29E5" w:rsidRDefault="00FC29E5" w:rsidP="00FC29E5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FC29E5">
        <w:rPr>
          <w:rFonts w:ascii="inherit" w:eastAsia="Times New Roman" w:hAnsi="inherit" w:cs="Arial"/>
          <w:i/>
          <w:iCs/>
          <w:color w:val="000000"/>
          <w:lang w:eastAsia="ru-RU"/>
        </w:rPr>
        <w:t>получать ипотеку и другие потребительские кредиты (представив банку справку, в которой будет отражена сумма официальной заработной платы);</w:t>
      </w:r>
    </w:p>
    <w:p w:rsidR="00FC29E5" w:rsidRPr="00FC29E5" w:rsidRDefault="00FC29E5" w:rsidP="00FC29E5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FC29E5">
        <w:rPr>
          <w:rFonts w:ascii="inherit" w:eastAsia="Times New Roman" w:hAnsi="inherit" w:cs="Arial"/>
          <w:i/>
          <w:iCs/>
          <w:color w:val="000000"/>
          <w:lang w:eastAsia="ru-RU"/>
        </w:rPr>
        <w:t>получать имущественные (покупка жилья) и социальные вычеты (обучение, лечение).</w:t>
      </w:r>
    </w:p>
    <w:p w:rsidR="00FC29E5" w:rsidRPr="00FC29E5" w:rsidRDefault="00FC29E5" w:rsidP="00FC29E5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C29E5">
        <w:rPr>
          <w:rFonts w:ascii="Arial" w:eastAsia="Times New Roman" w:hAnsi="Arial" w:cs="Arial"/>
          <w:color w:val="000000"/>
          <w:lang w:eastAsia="ru-RU"/>
        </w:rPr>
        <w:t>Ни для кого не секрет, что некоторые работодатели ищут различные схемы ухода от уплаты страховых взносов, не беспокоятся о завтрашнем дне своих подчиненных. Сами работники, соглашаясь на подобные условия, лишают себя существенной части будущей пенсии.</w:t>
      </w:r>
    </w:p>
    <w:p w:rsidR="00FC29E5" w:rsidRPr="00FC29E5" w:rsidRDefault="00FC29E5" w:rsidP="00FC29E5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C29E5">
        <w:rPr>
          <w:rFonts w:ascii="Arial" w:eastAsia="Times New Roman" w:hAnsi="Arial" w:cs="Arial"/>
          <w:color w:val="000000"/>
          <w:lang w:eastAsia="ru-RU"/>
        </w:rPr>
        <w:t>Соглашаясь сегодня на такие условия оплаты труда и оформления трудовых отношений, граждане лишают себя всех прав социальной защиты и фактически отказываются от будущей пенсии.</w:t>
      </w:r>
    </w:p>
    <w:p w:rsidR="00FC29E5" w:rsidRPr="00FC29E5" w:rsidRDefault="00FC29E5" w:rsidP="00FC29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C29E5">
        <w:rPr>
          <w:rFonts w:ascii="Arial" w:eastAsia="Times New Roman" w:hAnsi="Arial" w:cs="Arial"/>
          <w:color w:val="000000"/>
          <w:lang w:eastAsia="ru-RU"/>
        </w:rPr>
        <w:t>Лучше сразу поинтересоваться у работодателя, уплачивает ли он за вас в полном объёме страховые взносы на обязательное пенсионное страхование, а также периодически проверять состояние своего пенсионного счета. Это можно сделать несколькими способами: обратившись лично в территориальные органы ПФР по месту жительства; на </w:t>
      </w:r>
      <w:hyperlink r:id="rId6" w:tgtFrame="_blank" w:history="1">
        <w:r w:rsidRPr="00FC29E5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Едином портале госуслуг</w:t>
        </w:r>
      </w:hyperlink>
      <w:r w:rsidRPr="00FC29E5">
        <w:rPr>
          <w:rFonts w:ascii="Arial" w:eastAsia="Times New Roman" w:hAnsi="Arial" w:cs="Arial"/>
          <w:color w:val="000000"/>
          <w:lang w:eastAsia="ru-RU"/>
        </w:rPr>
        <w:t> (www.gosuslugi.ru), а также заказным письмом (но для этого нужно написать заявление о желании получить такую информацию).</w:t>
      </w:r>
    </w:p>
    <w:p w:rsidR="00FC29E5" w:rsidRPr="00FC29E5" w:rsidRDefault="00FC29E5" w:rsidP="00FC29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C29E5">
        <w:rPr>
          <w:rFonts w:ascii="Arial" w:eastAsia="Times New Roman" w:hAnsi="Arial" w:cs="Arial"/>
          <w:color w:val="000000"/>
          <w:lang w:eastAsia="ru-RU"/>
        </w:rPr>
        <w:t>Можно так же воспользоваться электронным сервисом ПФР </w:t>
      </w:r>
      <w:hyperlink r:id="rId7" w:anchor="services-f" w:tgtFrame="_blank" w:history="1">
        <w:r w:rsidRPr="00FC29E5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«Личный кабинет гражданина»</w:t>
        </w:r>
      </w:hyperlink>
      <w:r w:rsidRPr="00FC29E5">
        <w:rPr>
          <w:rFonts w:ascii="Arial" w:eastAsia="Times New Roman" w:hAnsi="Arial" w:cs="Arial"/>
          <w:color w:val="000000"/>
          <w:lang w:eastAsia="ru-RU"/>
        </w:rPr>
        <w:t xml:space="preserve">. Он позволяет гражданам </w:t>
      </w:r>
      <w:proofErr w:type="spellStart"/>
      <w:r w:rsidRPr="00FC29E5">
        <w:rPr>
          <w:rFonts w:ascii="Arial" w:eastAsia="Times New Roman" w:hAnsi="Arial" w:cs="Arial"/>
          <w:color w:val="000000"/>
          <w:lang w:eastAsia="ru-RU"/>
        </w:rPr>
        <w:t>допенсионного</w:t>
      </w:r>
      <w:proofErr w:type="spellEnd"/>
      <w:r w:rsidRPr="00FC29E5">
        <w:rPr>
          <w:rFonts w:ascii="Arial" w:eastAsia="Times New Roman" w:hAnsi="Arial" w:cs="Arial"/>
          <w:color w:val="000000"/>
          <w:lang w:eastAsia="ru-RU"/>
        </w:rPr>
        <w:t xml:space="preserve"> возраста в режиме реального времени узнать о своих уже сформированных пенсионных правах. Через Кабинет гражданин может узнать о количестве накопленных пенсионных баллов и длительности стажа, учтенных на его индивидуальном счете в ПФР. Сервис предоставляет возможность получить подробную информацию о периодах трудовой деятельности, местах работы, размере начисленных работодателями страховых взносов, которой располагает ПФР.</w:t>
      </w:r>
    </w:p>
    <w:p w:rsidR="00FC29E5" w:rsidRPr="00FC29E5" w:rsidRDefault="00FC29E5" w:rsidP="00FC29E5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C29E5">
        <w:rPr>
          <w:rFonts w:ascii="Arial" w:eastAsia="Times New Roman" w:hAnsi="Arial" w:cs="Arial"/>
          <w:color w:val="000000"/>
          <w:lang w:eastAsia="ru-RU"/>
        </w:rPr>
        <w:t>К получению заработной платы в «конверте» нельзя относиться легкомысленно.</w:t>
      </w:r>
    </w:p>
    <w:p w:rsidR="00FC29E5" w:rsidRPr="00FC29E5" w:rsidRDefault="00FC29E5" w:rsidP="00FC29E5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УПФР ГУ-ОПФР по КБР в Чегемском районе</w:t>
      </w:r>
      <w:r w:rsidRPr="00FC29E5">
        <w:rPr>
          <w:rFonts w:ascii="Arial" w:eastAsia="Times New Roman" w:hAnsi="Arial" w:cs="Arial"/>
          <w:color w:val="000000"/>
          <w:lang w:eastAsia="ru-RU"/>
        </w:rPr>
        <w:t xml:space="preserve"> предостерегает, что неофициальная выплата заработной платы («серая зарплата») влечет за собой не только нарушение </w:t>
      </w:r>
      <w:r w:rsidRPr="00FC29E5">
        <w:rPr>
          <w:rFonts w:ascii="Arial" w:eastAsia="Times New Roman" w:hAnsi="Arial" w:cs="Arial"/>
          <w:color w:val="000000"/>
          <w:lang w:eastAsia="ru-RU"/>
        </w:rPr>
        <w:lastRenderedPageBreak/>
        <w:t>действующего законодательства, но и ущемление социальных прав работников, в частности, права на достойное пенсионное обеспечение с наступлением пенсионного возраста.</w:t>
      </w:r>
    </w:p>
    <w:p w:rsidR="00FC29E5" w:rsidRPr="00FC29E5" w:rsidRDefault="00FC29E5" w:rsidP="00FC29E5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C29E5">
        <w:rPr>
          <w:rFonts w:ascii="Arial" w:eastAsia="Times New Roman" w:hAnsi="Arial" w:cs="Arial"/>
          <w:color w:val="000000"/>
          <w:lang w:eastAsia="ru-RU"/>
        </w:rPr>
        <w:t>Решение проблемы выплат «серых» зарплат возможно лишь при активном содействии граждан-работников предприятий, а так же в осознании работодателями социальной значимости данного вопроса.</w:t>
      </w:r>
    </w:p>
    <w:p w:rsidR="00AE0724" w:rsidRDefault="00AE0724"/>
    <w:p w:rsidR="00FC29E5" w:rsidRDefault="00FC29E5" w:rsidP="00FC29E5">
      <w:pPr>
        <w:jc w:val="right"/>
      </w:pPr>
      <w:r>
        <w:rPr>
          <w:rFonts w:ascii="Arial" w:eastAsia="Times New Roman" w:hAnsi="Arial" w:cs="Arial"/>
          <w:color w:val="000000"/>
          <w:lang w:eastAsia="ru-RU"/>
        </w:rPr>
        <w:t>У</w:t>
      </w:r>
      <w:r>
        <w:rPr>
          <w:rFonts w:ascii="Arial" w:eastAsia="Times New Roman" w:hAnsi="Arial" w:cs="Arial"/>
          <w:color w:val="000000"/>
          <w:lang w:eastAsia="ru-RU"/>
        </w:rPr>
        <w:t xml:space="preserve">правление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t>ПФР ГУ-ОПФР по КБР в Чегемском районе</w:t>
      </w:r>
    </w:p>
    <w:sectPr w:rsidR="00FC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894"/>
    <w:multiLevelType w:val="multilevel"/>
    <w:tmpl w:val="2852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E5"/>
    <w:rsid w:val="00AE0724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9E5"/>
    <w:rPr>
      <w:b/>
      <w:bCs/>
    </w:rPr>
  </w:style>
  <w:style w:type="character" w:styleId="a5">
    <w:name w:val="Hyperlink"/>
    <w:basedOn w:val="a0"/>
    <w:uiPriority w:val="99"/>
    <w:semiHidden/>
    <w:unhideWhenUsed/>
    <w:rsid w:val="00FC29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9E5"/>
    <w:rPr>
      <w:b/>
      <w:bCs/>
    </w:rPr>
  </w:style>
  <w:style w:type="character" w:styleId="a5">
    <w:name w:val="Hyperlink"/>
    <w:basedOn w:val="a0"/>
    <w:uiPriority w:val="99"/>
    <w:semiHidden/>
    <w:unhideWhenUsed/>
    <w:rsid w:val="00FC29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0</DocSecurity>
  <Lines>27</Lines>
  <Paragraphs>7</Paragraphs>
  <ScaleCrop>false</ScaleCrop>
  <Company>Kraftway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2018-02-26T12:20:00Z</dcterms:created>
  <dcterms:modified xsi:type="dcterms:W3CDTF">2018-02-26T12:22:00Z</dcterms:modified>
</cp:coreProperties>
</file>